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闫明刚</w:t>
      </w:r>
      <w:r>
        <w:rPr>
          <w:rFonts w:hint="eastAsia"/>
          <w:sz w:val="15"/>
          <w:szCs w:val="15"/>
          <w:highlight w:val="none"/>
        </w:rPr>
        <w:t>，</w:t>
      </w:r>
      <w:r>
        <w:rPr>
          <w:rFonts w:hint="eastAsia"/>
          <w:sz w:val="15"/>
          <w:szCs w:val="15"/>
          <w:highlight w:val="none"/>
          <w:lang w:val="en-US" w:eastAsia="zh-CN"/>
        </w:rPr>
        <w:t>132335198010211738</w:t>
      </w:r>
      <w:r>
        <w:rPr>
          <w:rFonts w:hint="eastAsia"/>
          <w:sz w:val="15"/>
          <w:szCs w:val="15"/>
        </w:rPr>
        <w:t xml:space="preserve">  </w:t>
      </w:r>
      <w:r>
        <w:rPr>
          <w:rFonts w:hint="eastAsia"/>
          <w:sz w:val="15"/>
          <w:szCs w:val="15"/>
          <w:lang w:val="en-US" w:eastAsia="zh-CN"/>
        </w:rPr>
        <w:t>冀A64E08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