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张骞</w:t>
      </w:r>
      <w:r>
        <w:rPr>
          <w:rFonts w:hint="eastAsia"/>
          <w:sz w:val="15"/>
          <w:szCs w:val="15"/>
          <w:highlight w:val="none"/>
        </w:rPr>
        <w:t>，</w:t>
      </w:r>
      <w:r>
        <w:rPr>
          <w:rFonts w:hint="eastAsia"/>
          <w:sz w:val="15"/>
          <w:szCs w:val="15"/>
          <w:highlight w:val="none"/>
          <w:lang w:val="en-US" w:eastAsia="zh-CN"/>
        </w:rPr>
        <w:t>132335198008151019</w:t>
      </w:r>
      <w:r>
        <w:rPr>
          <w:rFonts w:hint="eastAsia"/>
          <w:sz w:val="15"/>
          <w:szCs w:val="15"/>
        </w:rPr>
        <w:t xml:space="preserve">  </w:t>
      </w:r>
      <w:r>
        <w:rPr>
          <w:rFonts w:hint="eastAsia"/>
          <w:sz w:val="15"/>
          <w:szCs w:val="15"/>
          <w:lang w:val="en-US" w:eastAsia="zh-CN"/>
        </w:rPr>
        <w:t>冀A39216D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