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齐乐甫</w:t>
      </w:r>
      <w:r>
        <w:rPr>
          <w:rFonts w:hint="eastAsia"/>
          <w:sz w:val="15"/>
          <w:szCs w:val="15"/>
          <w:highlight w:val="none"/>
        </w:rPr>
        <w:t>，</w:t>
      </w:r>
      <w:r>
        <w:rPr>
          <w:rFonts w:hint="eastAsia"/>
          <w:sz w:val="15"/>
          <w:szCs w:val="15"/>
          <w:highlight w:val="none"/>
          <w:lang w:val="en-US" w:eastAsia="zh-CN"/>
        </w:rPr>
        <w:t>132335198007200034</w:t>
      </w:r>
      <w:r>
        <w:rPr>
          <w:rFonts w:hint="eastAsia"/>
          <w:sz w:val="15"/>
          <w:szCs w:val="15"/>
        </w:rPr>
        <w:t xml:space="preserve">  </w:t>
      </w:r>
      <w:r>
        <w:rPr>
          <w:rFonts w:hint="eastAsia"/>
          <w:sz w:val="15"/>
          <w:szCs w:val="15"/>
          <w:lang w:val="en-US" w:eastAsia="zh-CN"/>
        </w:rPr>
        <w:t>冀ABK569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