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李振才</w:t>
      </w:r>
      <w:r>
        <w:rPr>
          <w:rFonts w:hint="eastAsia"/>
          <w:sz w:val="15"/>
          <w:szCs w:val="15"/>
          <w:highlight w:val="none"/>
        </w:rPr>
        <w:t>，</w:t>
      </w:r>
      <w:r>
        <w:rPr>
          <w:rFonts w:hint="eastAsia"/>
          <w:sz w:val="15"/>
          <w:szCs w:val="15"/>
          <w:highlight w:val="none"/>
          <w:lang w:val="en-US" w:eastAsia="zh-CN"/>
        </w:rPr>
        <w:t>132335198004051010</w:t>
      </w:r>
      <w:r>
        <w:rPr>
          <w:rFonts w:hint="eastAsia"/>
          <w:sz w:val="15"/>
          <w:szCs w:val="15"/>
        </w:rPr>
        <w:t xml:space="preserve">  </w:t>
      </w:r>
      <w:r>
        <w:rPr>
          <w:rFonts w:hint="eastAsia"/>
          <w:sz w:val="15"/>
          <w:szCs w:val="15"/>
          <w:lang w:val="en-US" w:eastAsia="zh-CN"/>
        </w:rPr>
        <w:t>冀A21H82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