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王利军</w:t>
      </w:r>
      <w:r>
        <w:rPr>
          <w:rFonts w:hint="eastAsia"/>
          <w:sz w:val="15"/>
          <w:szCs w:val="15"/>
          <w:highlight w:val="none"/>
        </w:rPr>
        <w:t>，</w:t>
      </w:r>
      <w:r>
        <w:rPr>
          <w:rFonts w:hint="eastAsia"/>
          <w:sz w:val="15"/>
          <w:szCs w:val="15"/>
          <w:highlight w:val="none"/>
          <w:lang w:val="en-US" w:eastAsia="zh-CN"/>
        </w:rPr>
        <w:t>132335198003222711</w:t>
      </w:r>
      <w:r>
        <w:rPr>
          <w:rFonts w:hint="eastAsia"/>
          <w:sz w:val="15"/>
          <w:szCs w:val="15"/>
        </w:rPr>
        <w:t xml:space="preserve">  </w:t>
      </w:r>
      <w:r>
        <w:rPr>
          <w:rFonts w:hint="eastAsia"/>
          <w:sz w:val="15"/>
          <w:szCs w:val="15"/>
          <w:lang w:val="en-US" w:eastAsia="zh-CN"/>
        </w:rPr>
        <w:t>沪A85691D</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