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刘明飞</w:t>
      </w:r>
      <w:r>
        <w:rPr>
          <w:rFonts w:hint="eastAsia"/>
          <w:sz w:val="15"/>
          <w:szCs w:val="15"/>
          <w:highlight w:val="none"/>
        </w:rPr>
        <w:t>，</w:t>
      </w:r>
      <w:r>
        <w:rPr>
          <w:rFonts w:hint="eastAsia"/>
          <w:sz w:val="15"/>
          <w:szCs w:val="15"/>
          <w:highlight w:val="none"/>
          <w:lang w:val="en-US" w:eastAsia="zh-CN"/>
        </w:rPr>
        <w:t>132335198001062419</w:t>
      </w:r>
      <w:r>
        <w:rPr>
          <w:rFonts w:hint="eastAsia"/>
          <w:sz w:val="15"/>
          <w:szCs w:val="15"/>
        </w:rPr>
        <w:t xml:space="preserve">  </w:t>
      </w:r>
      <w:r>
        <w:rPr>
          <w:rFonts w:hint="eastAsia"/>
          <w:sz w:val="15"/>
          <w:szCs w:val="15"/>
          <w:lang w:val="en-US" w:eastAsia="zh-CN"/>
        </w:rPr>
        <w:t>冀A562KK</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