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齐进龙</w:t>
      </w:r>
      <w:r>
        <w:rPr>
          <w:rFonts w:hint="eastAsia"/>
          <w:sz w:val="15"/>
          <w:szCs w:val="15"/>
          <w:highlight w:val="none"/>
        </w:rPr>
        <w:t>，</w:t>
      </w:r>
      <w:r>
        <w:rPr>
          <w:rFonts w:hint="eastAsia"/>
          <w:sz w:val="15"/>
          <w:szCs w:val="15"/>
          <w:highlight w:val="none"/>
          <w:lang w:val="en-US" w:eastAsia="zh-CN"/>
        </w:rPr>
        <w:t>132335197911050017</w:t>
      </w:r>
      <w:r>
        <w:rPr>
          <w:rFonts w:hint="eastAsia"/>
          <w:sz w:val="15"/>
          <w:szCs w:val="15"/>
        </w:rPr>
        <w:t xml:space="preserve">  </w:t>
      </w:r>
      <w:r>
        <w:rPr>
          <w:rFonts w:hint="eastAsia"/>
          <w:sz w:val="15"/>
          <w:szCs w:val="15"/>
          <w:lang w:val="en-US" w:eastAsia="zh-CN"/>
        </w:rPr>
        <w:t>冀ALE608</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