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赵伟刚</w:t>
      </w:r>
      <w:r>
        <w:rPr>
          <w:rFonts w:hint="eastAsia"/>
          <w:sz w:val="15"/>
          <w:szCs w:val="15"/>
          <w:highlight w:val="none"/>
        </w:rPr>
        <w:t>，</w:t>
      </w:r>
      <w:r>
        <w:rPr>
          <w:rFonts w:hint="eastAsia"/>
          <w:sz w:val="15"/>
          <w:szCs w:val="15"/>
          <w:highlight w:val="none"/>
          <w:lang w:val="en-US" w:eastAsia="zh-CN"/>
        </w:rPr>
        <w:t>132335197909111618</w:t>
      </w:r>
      <w:r>
        <w:rPr>
          <w:rFonts w:hint="eastAsia"/>
          <w:sz w:val="15"/>
          <w:szCs w:val="15"/>
        </w:rPr>
        <w:t xml:space="preserve">  </w:t>
      </w:r>
      <w:r>
        <w:rPr>
          <w:rFonts w:hint="eastAsia"/>
          <w:sz w:val="15"/>
          <w:szCs w:val="15"/>
          <w:lang w:val="en-US" w:eastAsia="zh-CN"/>
        </w:rPr>
        <w:t>冀AKV278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