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唐志刚</w:t>
      </w:r>
      <w:r>
        <w:rPr>
          <w:rFonts w:hint="eastAsia"/>
          <w:sz w:val="15"/>
          <w:szCs w:val="15"/>
          <w:highlight w:val="none"/>
        </w:rPr>
        <w:t>，</w:t>
      </w:r>
      <w:r>
        <w:rPr>
          <w:rFonts w:hint="eastAsia"/>
          <w:sz w:val="15"/>
          <w:szCs w:val="15"/>
          <w:highlight w:val="none"/>
          <w:lang w:val="en-US" w:eastAsia="zh-CN"/>
        </w:rPr>
        <w:t>132335197906152270</w:t>
      </w:r>
      <w:r>
        <w:rPr>
          <w:rFonts w:hint="eastAsia"/>
          <w:sz w:val="15"/>
          <w:szCs w:val="15"/>
        </w:rPr>
        <w:t xml:space="preserve">  </w:t>
      </w:r>
      <w:r>
        <w:rPr>
          <w:rFonts w:hint="eastAsia"/>
          <w:sz w:val="15"/>
          <w:szCs w:val="15"/>
          <w:lang w:val="en-US" w:eastAsia="zh-CN"/>
        </w:rPr>
        <w:t>冀AK4676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