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张书龙</w:t>
      </w:r>
      <w:r>
        <w:rPr>
          <w:rFonts w:hint="eastAsia"/>
          <w:sz w:val="15"/>
          <w:szCs w:val="15"/>
          <w:highlight w:val="none"/>
        </w:rPr>
        <w:t>，</w:t>
      </w:r>
      <w:r>
        <w:rPr>
          <w:rFonts w:hint="eastAsia"/>
          <w:sz w:val="15"/>
          <w:szCs w:val="15"/>
          <w:highlight w:val="none"/>
          <w:lang w:val="en-US" w:eastAsia="zh-CN"/>
        </w:rPr>
        <w:t>132335197906121175</w:t>
      </w:r>
      <w:r>
        <w:rPr>
          <w:rFonts w:hint="eastAsia"/>
          <w:sz w:val="15"/>
          <w:szCs w:val="15"/>
        </w:rPr>
        <w:t xml:space="preserve">  </w:t>
      </w:r>
      <w:r>
        <w:rPr>
          <w:rFonts w:hint="eastAsia"/>
          <w:sz w:val="15"/>
          <w:szCs w:val="15"/>
          <w:lang w:val="en-US" w:eastAsia="zh-CN"/>
        </w:rPr>
        <w:t>沪A28762A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