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王二刚</w:t>
      </w:r>
      <w:r>
        <w:rPr>
          <w:rFonts w:hint="eastAsia"/>
          <w:sz w:val="15"/>
          <w:szCs w:val="15"/>
          <w:highlight w:val="none"/>
        </w:rPr>
        <w:t>，</w:t>
      </w:r>
      <w:r>
        <w:rPr>
          <w:rFonts w:hint="eastAsia"/>
          <w:sz w:val="15"/>
          <w:szCs w:val="15"/>
          <w:highlight w:val="none"/>
          <w:lang w:val="en-US" w:eastAsia="zh-CN"/>
        </w:rPr>
        <w:t>132335197904061818</w:t>
      </w:r>
      <w:r>
        <w:rPr>
          <w:rFonts w:hint="eastAsia"/>
          <w:sz w:val="15"/>
          <w:szCs w:val="15"/>
        </w:rPr>
        <w:t xml:space="preserve">  </w:t>
      </w:r>
      <w:r>
        <w:rPr>
          <w:rFonts w:hint="eastAsia"/>
          <w:sz w:val="15"/>
          <w:szCs w:val="15"/>
          <w:lang w:val="en-US" w:eastAsia="zh-CN"/>
        </w:rPr>
        <w:t>冀A2135W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