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卢丽霞</w:t>
      </w:r>
      <w:r>
        <w:rPr>
          <w:rFonts w:hint="eastAsia"/>
          <w:sz w:val="15"/>
          <w:szCs w:val="15"/>
          <w:highlight w:val="none"/>
        </w:rPr>
        <w:t>，</w:t>
      </w:r>
      <w:r>
        <w:rPr>
          <w:rFonts w:hint="eastAsia"/>
          <w:sz w:val="15"/>
          <w:szCs w:val="15"/>
          <w:highlight w:val="none"/>
          <w:lang w:val="en-US" w:eastAsia="zh-CN"/>
        </w:rPr>
        <w:t>132335197904052161</w:t>
      </w:r>
      <w:r>
        <w:rPr>
          <w:rFonts w:hint="eastAsia"/>
          <w:sz w:val="15"/>
          <w:szCs w:val="15"/>
        </w:rPr>
        <w:t xml:space="preserve">  </w:t>
      </w:r>
      <w:r>
        <w:rPr>
          <w:rFonts w:hint="eastAsia"/>
          <w:sz w:val="15"/>
          <w:szCs w:val="15"/>
          <w:lang w:val="en-US" w:eastAsia="zh-CN"/>
        </w:rPr>
        <w:t>冀ATA973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