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杨立军</w:t>
      </w:r>
      <w:r>
        <w:rPr>
          <w:rFonts w:hint="eastAsia"/>
          <w:sz w:val="15"/>
          <w:szCs w:val="15"/>
          <w:highlight w:val="none"/>
        </w:rPr>
        <w:t>，</w:t>
      </w:r>
      <w:r>
        <w:rPr>
          <w:rFonts w:hint="eastAsia"/>
          <w:sz w:val="15"/>
          <w:szCs w:val="15"/>
          <w:highlight w:val="none"/>
          <w:lang w:val="en-US" w:eastAsia="zh-CN"/>
        </w:rPr>
        <w:t>13233519790316003X</w:t>
      </w:r>
      <w:r>
        <w:rPr>
          <w:rFonts w:hint="eastAsia"/>
          <w:sz w:val="15"/>
          <w:szCs w:val="15"/>
        </w:rPr>
        <w:t xml:space="preserve">  </w:t>
      </w:r>
      <w:r>
        <w:rPr>
          <w:rFonts w:hint="eastAsia"/>
          <w:sz w:val="15"/>
          <w:szCs w:val="15"/>
          <w:lang w:val="en-US" w:eastAsia="zh-CN"/>
        </w:rPr>
        <w:t>冀AV3541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