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张彦龙</w:t>
      </w:r>
      <w:r>
        <w:rPr>
          <w:rFonts w:hint="eastAsia"/>
          <w:sz w:val="15"/>
          <w:szCs w:val="15"/>
          <w:highlight w:val="none"/>
        </w:rPr>
        <w:t>，</w:t>
      </w:r>
      <w:r>
        <w:rPr>
          <w:rFonts w:hint="eastAsia"/>
          <w:sz w:val="15"/>
          <w:szCs w:val="15"/>
          <w:highlight w:val="none"/>
          <w:lang w:val="en-US" w:eastAsia="zh-CN"/>
        </w:rPr>
        <w:t>132335197902030874</w:t>
      </w:r>
      <w:r>
        <w:rPr>
          <w:rFonts w:hint="eastAsia"/>
          <w:sz w:val="15"/>
          <w:szCs w:val="15"/>
        </w:rPr>
        <w:t xml:space="preserve">  </w:t>
      </w:r>
      <w:r>
        <w:rPr>
          <w:rFonts w:hint="eastAsia"/>
          <w:sz w:val="15"/>
          <w:szCs w:val="15"/>
          <w:lang w:val="en-US" w:eastAsia="zh-CN"/>
        </w:rPr>
        <w:t>冀A173UN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