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贾江峰</w:t>
      </w:r>
      <w:r>
        <w:rPr>
          <w:rFonts w:hint="eastAsia"/>
          <w:sz w:val="15"/>
          <w:szCs w:val="15"/>
          <w:highlight w:val="none"/>
        </w:rPr>
        <w:t>，</w:t>
      </w:r>
      <w:r>
        <w:rPr>
          <w:rFonts w:hint="eastAsia"/>
          <w:sz w:val="15"/>
          <w:szCs w:val="15"/>
          <w:highlight w:val="none"/>
          <w:lang w:val="en-US" w:eastAsia="zh-CN"/>
        </w:rPr>
        <w:t>132335197902010574</w:t>
      </w:r>
      <w:r>
        <w:rPr>
          <w:rFonts w:hint="eastAsia"/>
          <w:sz w:val="15"/>
          <w:szCs w:val="15"/>
        </w:rPr>
        <w:t xml:space="preserve">  </w:t>
      </w:r>
      <w:r>
        <w:rPr>
          <w:rFonts w:hint="eastAsia"/>
          <w:sz w:val="15"/>
          <w:szCs w:val="15"/>
          <w:lang w:val="en-US" w:eastAsia="zh-CN"/>
        </w:rPr>
        <w:t>冀AKT571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