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齐朋霞</w:t>
      </w:r>
      <w:r>
        <w:rPr>
          <w:rFonts w:hint="eastAsia"/>
          <w:sz w:val="15"/>
          <w:szCs w:val="15"/>
          <w:highlight w:val="none"/>
        </w:rPr>
        <w:t>，</w:t>
      </w:r>
      <w:r>
        <w:rPr>
          <w:rFonts w:hint="eastAsia"/>
          <w:sz w:val="15"/>
          <w:szCs w:val="15"/>
          <w:highlight w:val="none"/>
          <w:lang w:val="en-US" w:eastAsia="zh-CN"/>
        </w:rPr>
        <w:t>132335197901150049</w:t>
      </w:r>
      <w:r>
        <w:rPr>
          <w:rFonts w:hint="eastAsia"/>
          <w:sz w:val="15"/>
          <w:szCs w:val="15"/>
        </w:rPr>
        <w:t xml:space="preserve">  </w:t>
      </w:r>
      <w:r>
        <w:rPr>
          <w:rFonts w:hint="eastAsia"/>
          <w:sz w:val="15"/>
          <w:szCs w:val="15"/>
          <w:lang w:val="en-US" w:eastAsia="zh-CN"/>
        </w:rPr>
        <w:t>冀A5H176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