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王振红</w:t>
      </w:r>
      <w:r>
        <w:rPr>
          <w:rFonts w:hint="eastAsia"/>
          <w:sz w:val="15"/>
          <w:szCs w:val="15"/>
          <w:highlight w:val="none"/>
        </w:rPr>
        <w:t>，</w:t>
      </w:r>
      <w:r>
        <w:rPr>
          <w:rFonts w:hint="eastAsia"/>
          <w:sz w:val="15"/>
          <w:szCs w:val="15"/>
          <w:highlight w:val="none"/>
          <w:lang w:val="en-US" w:eastAsia="zh-CN"/>
        </w:rPr>
        <w:t>132335197812170718</w:t>
      </w:r>
      <w:r>
        <w:rPr>
          <w:rFonts w:hint="eastAsia"/>
          <w:sz w:val="15"/>
          <w:szCs w:val="15"/>
        </w:rPr>
        <w:t xml:space="preserve">  </w:t>
      </w:r>
      <w:r>
        <w:rPr>
          <w:rFonts w:hint="eastAsia"/>
          <w:sz w:val="15"/>
          <w:szCs w:val="15"/>
          <w:lang w:val="en-US" w:eastAsia="zh-CN"/>
        </w:rPr>
        <w:t>沪A73882D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