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刘永刚</w:t>
      </w:r>
      <w:r>
        <w:rPr>
          <w:rFonts w:hint="eastAsia"/>
          <w:sz w:val="15"/>
          <w:szCs w:val="15"/>
          <w:highlight w:val="none"/>
        </w:rPr>
        <w:t>，</w:t>
      </w:r>
      <w:r>
        <w:rPr>
          <w:rFonts w:hint="eastAsia"/>
          <w:sz w:val="15"/>
          <w:szCs w:val="15"/>
          <w:highlight w:val="none"/>
          <w:lang w:val="en-US" w:eastAsia="zh-CN"/>
        </w:rPr>
        <w:t>132335197810010016</w:t>
      </w:r>
      <w:r>
        <w:rPr>
          <w:rFonts w:hint="eastAsia"/>
          <w:sz w:val="15"/>
          <w:szCs w:val="15"/>
        </w:rPr>
        <w:t xml:space="preserve">  </w:t>
      </w:r>
      <w:r>
        <w:rPr>
          <w:rFonts w:hint="eastAsia"/>
          <w:sz w:val="15"/>
          <w:szCs w:val="15"/>
          <w:lang w:val="en-US" w:eastAsia="zh-CN"/>
        </w:rPr>
        <w:t>冀A47086D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