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刘习增</w:t>
      </w:r>
      <w:r>
        <w:rPr>
          <w:rFonts w:hint="eastAsia"/>
          <w:sz w:val="15"/>
          <w:szCs w:val="15"/>
          <w:highlight w:val="none"/>
        </w:rPr>
        <w:t>，</w:t>
      </w:r>
      <w:r>
        <w:rPr>
          <w:rFonts w:hint="eastAsia"/>
          <w:sz w:val="15"/>
          <w:szCs w:val="15"/>
          <w:highlight w:val="none"/>
          <w:lang w:val="en-US" w:eastAsia="zh-CN"/>
        </w:rPr>
        <w:t>132335197809161319</w:t>
      </w:r>
      <w:r>
        <w:rPr>
          <w:rFonts w:hint="eastAsia"/>
          <w:sz w:val="15"/>
          <w:szCs w:val="15"/>
        </w:rPr>
        <w:t xml:space="preserve">  </w:t>
      </w:r>
      <w:r>
        <w:rPr>
          <w:rFonts w:hint="eastAsia"/>
          <w:sz w:val="15"/>
          <w:szCs w:val="15"/>
          <w:lang w:val="en-US" w:eastAsia="zh-CN"/>
        </w:rPr>
        <w:t>冀A08348D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