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马贵军</w:t>
      </w:r>
      <w:r>
        <w:rPr>
          <w:rFonts w:hint="eastAsia"/>
          <w:sz w:val="15"/>
          <w:szCs w:val="15"/>
          <w:highlight w:val="none"/>
        </w:rPr>
        <w:t>，</w:t>
      </w:r>
      <w:r>
        <w:rPr>
          <w:rFonts w:hint="eastAsia"/>
          <w:sz w:val="15"/>
          <w:szCs w:val="15"/>
          <w:highlight w:val="none"/>
          <w:lang w:val="en-US" w:eastAsia="zh-CN"/>
        </w:rPr>
        <w:t>132335197808182812</w:t>
      </w:r>
      <w:r>
        <w:rPr>
          <w:rFonts w:hint="eastAsia"/>
          <w:sz w:val="15"/>
          <w:szCs w:val="15"/>
        </w:rPr>
        <w:t xml:space="preserve">  </w:t>
      </w:r>
      <w:r>
        <w:rPr>
          <w:rFonts w:hint="eastAsia"/>
          <w:sz w:val="15"/>
          <w:szCs w:val="15"/>
          <w:lang w:val="en-US" w:eastAsia="zh-CN"/>
        </w:rPr>
        <w:t>冀AGE729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