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赵艳军</w:t>
      </w:r>
      <w:r>
        <w:rPr>
          <w:rFonts w:hint="eastAsia"/>
          <w:sz w:val="15"/>
          <w:szCs w:val="15"/>
          <w:highlight w:val="none"/>
        </w:rPr>
        <w:t>，</w:t>
      </w:r>
      <w:r>
        <w:rPr>
          <w:rFonts w:hint="eastAsia"/>
          <w:sz w:val="15"/>
          <w:szCs w:val="15"/>
          <w:highlight w:val="none"/>
          <w:lang w:val="en-US" w:eastAsia="zh-CN"/>
        </w:rPr>
        <w:t>132335197807181316</w:t>
      </w:r>
      <w:r>
        <w:rPr>
          <w:rFonts w:hint="eastAsia"/>
          <w:sz w:val="15"/>
          <w:szCs w:val="15"/>
        </w:rPr>
        <w:t xml:space="preserve">  </w:t>
      </w:r>
      <w:r>
        <w:rPr>
          <w:rFonts w:hint="eastAsia"/>
          <w:sz w:val="15"/>
          <w:szCs w:val="15"/>
          <w:lang w:val="en-US" w:eastAsia="zh-CN"/>
        </w:rPr>
        <w:t>冀A05293D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