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韩玉珍</w:t>
      </w:r>
      <w:r>
        <w:rPr>
          <w:rFonts w:hint="eastAsia"/>
          <w:sz w:val="15"/>
          <w:szCs w:val="15"/>
          <w:highlight w:val="none"/>
        </w:rPr>
        <w:t>，</w:t>
      </w:r>
      <w:r>
        <w:rPr>
          <w:rFonts w:hint="eastAsia"/>
          <w:sz w:val="15"/>
          <w:szCs w:val="15"/>
          <w:highlight w:val="none"/>
          <w:lang w:val="en-US" w:eastAsia="zh-CN"/>
        </w:rPr>
        <w:t>132335197807142843</w:t>
      </w:r>
      <w:r>
        <w:rPr>
          <w:rFonts w:hint="eastAsia"/>
          <w:sz w:val="15"/>
          <w:szCs w:val="15"/>
        </w:rPr>
        <w:t xml:space="preserve">  </w:t>
      </w:r>
      <w:r>
        <w:rPr>
          <w:rFonts w:hint="eastAsia"/>
          <w:sz w:val="15"/>
          <w:szCs w:val="15"/>
          <w:lang w:val="en-US" w:eastAsia="zh-CN"/>
        </w:rPr>
        <w:t>冀ABB205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