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韩进丽</w:t>
      </w:r>
      <w:r>
        <w:rPr>
          <w:rFonts w:hint="eastAsia"/>
          <w:sz w:val="15"/>
          <w:szCs w:val="15"/>
          <w:highlight w:val="none"/>
        </w:rPr>
        <w:t>，</w:t>
      </w:r>
      <w:r>
        <w:rPr>
          <w:rFonts w:hint="eastAsia"/>
          <w:sz w:val="15"/>
          <w:szCs w:val="15"/>
          <w:highlight w:val="none"/>
          <w:lang w:val="en-US" w:eastAsia="zh-CN"/>
        </w:rPr>
        <w:t>132335197804251622</w:t>
      </w:r>
      <w:r>
        <w:rPr>
          <w:rFonts w:hint="eastAsia"/>
          <w:sz w:val="15"/>
          <w:szCs w:val="15"/>
        </w:rPr>
        <w:t xml:space="preserve">  </w:t>
      </w:r>
      <w:r>
        <w:rPr>
          <w:rFonts w:hint="eastAsia"/>
          <w:sz w:val="15"/>
          <w:szCs w:val="15"/>
          <w:lang w:val="en-US" w:eastAsia="zh-CN"/>
        </w:rPr>
        <w:t>沪A13036A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