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付志强</w:t>
      </w:r>
      <w:r>
        <w:rPr>
          <w:rFonts w:hint="eastAsia"/>
          <w:sz w:val="15"/>
          <w:szCs w:val="15"/>
          <w:highlight w:val="none"/>
        </w:rPr>
        <w:t>，</w:t>
      </w:r>
      <w:r>
        <w:rPr>
          <w:rFonts w:hint="eastAsia"/>
          <w:sz w:val="15"/>
          <w:szCs w:val="15"/>
          <w:highlight w:val="none"/>
          <w:lang w:val="en-US" w:eastAsia="zh-CN"/>
        </w:rPr>
        <w:t>132335197803282291</w:t>
      </w:r>
      <w:r>
        <w:rPr>
          <w:rFonts w:hint="eastAsia"/>
          <w:sz w:val="15"/>
          <w:szCs w:val="15"/>
        </w:rPr>
        <w:t xml:space="preserve">  </w:t>
      </w:r>
      <w:r>
        <w:rPr>
          <w:rFonts w:hint="eastAsia"/>
          <w:sz w:val="15"/>
          <w:szCs w:val="15"/>
          <w:lang w:val="en-US" w:eastAsia="zh-CN"/>
        </w:rPr>
        <w:t>冀A4950H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