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张晓科</w:t>
      </w:r>
      <w:r>
        <w:rPr>
          <w:rFonts w:hint="eastAsia"/>
          <w:sz w:val="15"/>
          <w:szCs w:val="15"/>
          <w:highlight w:val="none"/>
        </w:rPr>
        <w:t>，</w:t>
      </w:r>
      <w:r>
        <w:rPr>
          <w:rFonts w:hint="eastAsia"/>
          <w:sz w:val="15"/>
          <w:szCs w:val="15"/>
          <w:highlight w:val="none"/>
          <w:lang w:val="en-US" w:eastAsia="zh-CN"/>
        </w:rPr>
        <w:t>132335197803030756</w:t>
      </w:r>
      <w:r>
        <w:rPr>
          <w:rFonts w:hint="eastAsia"/>
          <w:sz w:val="15"/>
          <w:szCs w:val="15"/>
        </w:rPr>
        <w:t xml:space="preserve">  </w:t>
      </w:r>
      <w:r>
        <w:rPr>
          <w:rFonts w:hint="eastAsia"/>
          <w:sz w:val="15"/>
          <w:szCs w:val="15"/>
          <w:lang w:val="en-US" w:eastAsia="zh-CN"/>
        </w:rPr>
        <w:t>冀A7M544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