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李庆兵</w:t>
      </w:r>
      <w:r>
        <w:rPr>
          <w:rFonts w:hint="eastAsia"/>
          <w:sz w:val="15"/>
          <w:szCs w:val="15"/>
          <w:highlight w:val="none"/>
        </w:rPr>
        <w:t>，</w:t>
      </w:r>
      <w:r>
        <w:rPr>
          <w:rFonts w:hint="eastAsia"/>
          <w:sz w:val="15"/>
          <w:szCs w:val="15"/>
          <w:highlight w:val="none"/>
          <w:lang w:val="en-US" w:eastAsia="zh-CN"/>
        </w:rPr>
        <w:t>132335197802040733</w:t>
      </w:r>
      <w:r>
        <w:rPr>
          <w:rFonts w:hint="eastAsia"/>
          <w:sz w:val="15"/>
          <w:szCs w:val="15"/>
        </w:rPr>
        <w:t xml:space="preserve">  </w:t>
      </w:r>
      <w:r>
        <w:rPr>
          <w:rFonts w:hint="eastAsia"/>
          <w:sz w:val="15"/>
          <w:szCs w:val="15"/>
          <w:lang w:val="en-US" w:eastAsia="zh-CN"/>
        </w:rPr>
        <w:t>冀A9960Y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