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李四龙</w:t>
      </w:r>
      <w:r>
        <w:rPr>
          <w:rFonts w:hint="eastAsia"/>
          <w:sz w:val="15"/>
          <w:szCs w:val="15"/>
          <w:highlight w:val="none"/>
        </w:rPr>
        <w:t>，</w:t>
      </w:r>
      <w:r>
        <w:rPr>
          <w:rFonts w:hint="eastAsia"/>
          <w:sz w:val="15"/>
          <w:szCs w:val="15"/>
          <w:highlight w:val="none"/>
          <w:lang w:val="en-US" w:eastAsia="zh-CN"/>
        </w:rPr>
        <w:t>132335197801121013</w:t>
      </w:r>
      <w:r>
        <w:rPr>
          <w:rFonts w:hint="eastAsia"/>
          <w:sz w:val="15"/>
          <w:szCs w:val="15"/>
        </w:rPr>
        <w:t xml:space="preserve">  </w:t>
      </w:r>
      <w:r>
        <w:rPr>
          <w:rFonts w:hint="eastAsia"/>
          <w:sz w:val="15"/>
          <w:szCs w:val="15"/>
          <w:lang w:val="en-US" w:eastAsia="zh-CN"/>
        </w:rPr>
        <w:t>冀AD3610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