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贾建波</w:t>
      </w:r>
      <w:r>
        <w:rPr>
          <w:rFonts w:hint="eastAsia"/>
          <w:sz w:val="15"/>
          <w:szCs w:val="15"/>
          <w:highlight w:val="none"/>
        </w:rPr>
        <w:t>，</w:t>
      </w:r>
      <w:r>
        <w:rPr>
          <w:rFonts w:hint="eastAsia"/>
          <w:sz w:val="15"/>
          <w:szCs w:val="15"/>
          <w:highlight w:val="none"/>
          <w:lang w:val="en-US" w:eastAsia="zh-CN"/>
        </w:rPr>
        <w:t>132335197801030031</w:t>
      </w:r>
      <w:r>
        <w:rPr>
          <w:rFonts w:hint="eastAsia"/>
          <w:sz w:val="15"/>
          <w:szCs w:val="15"/>
        </w:rPr>
        <w:t xml:space="preserve">  </w:t>
      </w:r>
      <w:r>
        <w:rPr>
          <w:rFonts w:hint="eastAsia"/>
          <w:sz w:val="15"/>
          <w:szCs w:val="15"/>
          <w:lang w:val="en-US" w:eastAsia="zh-CN"/>
        </w:rPr>
        <w:t>沪A29889A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