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刘文亮</w:t>
      </w:r>
      <w:r>
        <w:rPr>
          <w:rFonts w:hint="eastAsia"/>
          <w:sz w:val="15"/>
          <w:szCs w:val="15"/>
          <w:highlight w:val="none"/>
        </w:rPr>
        <w:t>，</w:t>
      </w:r>
      <w:r>
        <w:rPr>
          <w:rFonts w:hint="eastAsia"/>
          <w:sz w:val="15"/>
          <w:szCs w:val="15"/>
          <w:highlight w:val="none"/>
          <w:lang w:val="en-US" w:eastAsia="zh-CN"/>
        </w:rPr>
        <w:t>132335197711211314</w:t>
      </w:r>
      <w:r>
        <w:rPr>
          <w:rFonts w:hint="eastAsia"/>
          <w:sz w:val="15"/>
          <w:szCs w:val="15"/>
        </w:rPr>
        <w:t xml:space="preserve">  </w:t>
      </w:r>
      <w:r>
        <w:rPr>
          <w:rFonts w:hint="eastAsia"/>
          <w:sz w:val="15"/>
          <w:szCs w:val="15"/>
          <w:lang w:val="en-US" w:eastAsia="zh-CN"/>
        </w:rPr>
        <w:t>冀A8912Z</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