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王立波</w:t>
      </w:r>
      <w:r>
        <w:rPr>
          <w:rFonts w:hint="eastAsia"/>
          <w:sz w:val="15"/>
          <w:szCs w:val="15"/>
          <w:highlight w:val="none"/>
        </w:rPr>
        <w:t>，</w:t>
      </w:r>
      <w:r>
        <w:rPr>
          <w:rFonts w:hint="eastAsia"/>
          <w:sz w:val="15"/>
          <w:szCs w:val="15"/>
          <w:highlight w:val="none"/>
          <w:lang w:val="en-US" w:eastAsia="zh-CN"/>
        </w:rPr>
        <w:t>132335197711120033</w:t>
      </w:r>
      <w:r>
        <w:rPr>
          <w:rFonts w:hint="eastAsia"/>
          <w:sz w:val="15"/>
          <w:szCs w:val="15"/>
        </w:rPr>
        <w:t xml:space="preserve">  </w:t>
      </w:r>
      <w:r>
        <w:rPr>
          <w:rFonts w:hint="eastAsia"/>
          <w:sz w:val="15"/>
          <w:szCs w:val="15"/>
          <w:lang w:val="en-US" w:eastAsia="zh-CN"/>
        </w:rPr>
        <w:t>冀AY9531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