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任习国</w:t>
      </w:r>
      <w:r>
        <w:rPr>
          <w:rFonts w:hint="eastAsia"/>
          <w:sz w:val="15"/>
          <w:szCs w:val="15"/>
          <w:highlight w:val="none"/>
        </w:rPr>
        <w:t>，</w:t>
      </w:r>
      <w:r>
        <w:rPr>
          <w:rFonts w:hint="eastAsia"/>
          <w:sz w:val="15"/>
          <w:szCs w:val="15"/>
          <w:highlight w:val="none"/>
          <w:lang w:val="en-US" w:eastAsia="zh-CN"/>
        </w:rPr>
        <w:t>132335197711011195</w:t>
      </w:r>
      <w:r>
        <w:rPr>
          <w:rFonts w:hint="eastAsia"/>
          <w:sz w:val="15"/>
          <w:szCs w:val="15"/>
        </w:rPr>
        <w:t xml:space="preserve">  </w:t>
      </w:r>
      <w:r>
        <w:rPr>
          <w:rFonts w:hint="eastAsia"/>
          <w:sz w:val="15"/>
          <w:szCs w:val="15"/>
          <w:lang w:val="en-US" w:eastAsia="zh-CN"/>
        </w:rPr>
        <w:t>冀A33249D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