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戎志芳</w:t>
      </w:r>
      <w:r>
        <w:rPr>
          <w:rFonts w:hint="eastAsia"/>
          <w:sz w:val="15"/>
          <w:szCs w:val="15"/>
          <w:highlight w:val="none"/>
        </w:rPr>
        <w:t>，</w:t>
      </w:r>
      <w:r>
        <w:rPr>
          <w:rFonts w:hint="eastAsia"/>
          <w:sz w:val="15"/>
          <w:szCs w:val="15"/>
          <w:highlight w:val="none"/>
          <w:lang w:val="en-US" w:eastAsia="zh-CN"/>
        </w:rPr>
        <w:t>132335197709272273</w:t>
      </w:r>
      <w:r>
        <w:rPr>
          <w:rFonts w:hint="eastAsia"/>
          <w:sz w:val="15"/>
          <w:szCs w:val="15"/>
        </w:rPr>
        <w:t xml:space="preserve">  </w:t>
      </w:r>
      <w:r>
        <w:rPr>
          <w:rFonts w:hint="eastAsia"/>
          <w:sz w:val="15"/>
          <w:szCs w:val="15"/>
          <w:lang w:val="en-US" w:eastAsia="zh-CN"/>
        </w:rPr>
        <w:t>冀AS3549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