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杨鹏志</w:t>
      </w:r>
      <w:r>
        <w:rPr>
          <w:rFonts w:hint="eastAsia"/>
          <w:sz w:val="15"/>
          <w:szCs w:val="15"/>
          <w:highlight w:val="none"/>
        </w:rPr>
        <w:t>，</w:t>
      </w:r>
      <w:r>
        <w:rPr>
          <w:rFonts w:hint="eastAsia"/>
          <w:sz w:val="15"/>
          <w:szCs w:val="15"/>
          <w:highlight w:val="none"/>
          <w:lang w:val="en-US" w:eastAsia="zh-CN"/>
        </w:rPr>
        <w:t>132335197708090056</w:t>
      </w:r>
      <w:r>
        <w:rPr>
          <w:rFonts w:hint="eastAsia"/>
          <w:sz w:val="15"/>
          <w:szCs w:val="15"/>
        </w:rPr>
        <w:t xml:space="preserve">  </w:t>
      </w:r>
      <w:r>
        <w:rPr>
          <w:rFonts w:hint="eastAsia"/>
          <w:sz w:val="15"/>
          <w:szCs w:val="15"/>
          <w:lang w:val="en-US" w:eastAsia="zh-CN"/>
        </w:rPr>
        <w:t>冀A1716P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