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杨文军</w:t>
      </w:r>
      <w:r>
        <w:rPr>
          <w:rFonts w:hint="eastAsia"/>
          <w:sz w:val="15"/>
          <w:szCs w:val="15"/>
          <w:highlight w:val="none"/>
        </w:rPr>
        <w:t>，</w:t>
      </w:r>
      <w:r>
        <w:rPr>
          <w:rFonts w:hint="eastAsia"/>
          <w:sz w:val="15"/>
          <w:szCs w:val="15"/>
          <w:highlight w:val="none"/>
          <w:lang w:val="en-US" w:eastAsia="zh-CN"/>
        </w:rPr>
        <w:t>132335197705170034</w:t>
      </w:r>
      <w:r>
        <w:rPr>
          <w:rFonts w:hint="eastAsia"/>
          <w:sz w:val="15"/>
          <w:szCs w:val="15"/>
        </w:rPr>
        <w:t xml:space="preserve">  </w:t>
      </w:r>
      <w:r>
        <w:rPr>
          <w:rFonts w:hint="eastAsia"/>
          <w:sz w:val="15"/>
          <w:szCs w:val="15"/>
          <w:lang w:val="en-US" w:eastAsia="zh-CN"/>
        </w:rPr>
        <w:t>冀A55R31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