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杨伟</w:t>
      </w:r>
      <w:r>
        <w:rPr>
          <w:rFonts w:hint="eastAsia"/>
          <w:sz w:val="15"/>
          <w:szCs w:val="15"/>
          <w:highlight w:val="none"/>
        </w:rPr>
        <w:t>，</w:t>
      </w:r>
      <w:r>
        <w:rPr>
          <w:rFonts w:hint="eastAsia"/>
          <w:sz w:val="15"/>
          <w:szCs w:val="15"/>
          <w:highlight w:val="none"/>
          <w:lang w:val="en-US" w:eastAsia="zh-CN"/>
        </w:rPr>
        <w:t>132335197705153074</w:t>
      </w:r>
      <w:r>
        <w:rPr>
          <w:rFonts w:hint="eastAsia"/>
          <w:sz w:val="15"/>
          <w:szCs w:val="15"/>
        </w:rPr>
        <w:t xml:space="preserve">  </w:t>
      </w:r>
      <w:r>
        <w:rPr>
          <w:rFonts w:hint="eastAsia"/>
          <w:sz w:val="15"/>
          <w:szCs w:val="15"/>
          <w:lang w:val="en-US" w:eastAsia="zh-CN"/>
        </w:rPr>
        <w:t>冀ABW939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