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安拴军</w:t>
      </w:r>
      <w:r>
        <w:rPr>
          <w:rFonts w:hint="eastAsia"/>
          <w:sz w:val="15"/>
          <w:szCs w:val="15"/>
          <w:highlight w:val="none"/>
        </w:rPr>
        <w:t>，</w:t>
      </w:r>
      <w:r>
        <w:rPr>
          <w:rFonts w:hint="eastAsia"/>
          <w:sz w:val="15"/>
          <w:szCs w:val="15"/>
          <w:highlight w:val="none"/>
          <w:lang w:val="en-US" w:eastAsia="zh-CN"/>
        </w:rPr>
        <w:t>132335197702191315</w:t>
      </w:r>
      <w:r>
        <w:rPr>
          <w:rFonts w:hint="eastAsia"/>
          <w:sz w:val="15"/>
          <w:szCs w:val="15"/>
        </w:rPr>
        <w:t xml:space="preserve">  </w:t>
      </w:r>
      <w:r>
        <w:rPr>
          <w:rFonts w:hint="eastAsia"/>
          <w:sz w:val="15"/>
          <w:szCs w:val="15"/>
          <w:lang w:val="en-US" w:eastAsia="zh-CN"/>
        </w:rPr>
        <w:t>冀AVX379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