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何文生</w:t>
      </w:r>
      <w:r>
        <w:rPr>
          <w:rFonts w:hint="eastAsia"/>
          <w:sz w:val="15"/>
          <w:szCs w:val="15"/>
          <w:highlight w:val="none"/>
        </w:rPr>
        <w:t>，</w:t>
      </w:r>
      <w:r>
        <w:rPr>
          <w:rFonts w:hint="eastAsia"/>
          <w:sz w:val="15"/>
          <w:szCs w:val="15"/>
          <w:highlight w:val="none"/>
          <w:lang w:val="en-US" w:eastAsia="zh-CN"/>
        </w:rPr>
        <w:t>13233519770120257X</w:t>
      </w:r>
      <w:r>
        <w:rPr>
          <w:rFonts w:hint="eastAsia"/>
          <w:sz w:val="15"/>
          <w:szCs w:val="15"/>
        </w:rPr>
        <w:t xml:space="preserve">  </w:t>
      </w:r>
      <w:r>
        <w:rPr>
          <w:rFonts w:hint="eastAsia"/>
          <w:sz w:val="15"/>
          <w:szCs w:val="15"/>
          <w:lang w:val="en-US" w:eastAsia="zh-CN"/>
        </w:rPr>
        <w:t>冀A465PC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