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刘二宁</w:t>
      </w:r>
      <w:r>
        <w:rPr>
          <w:rFonts w:hint="eastAsia"/>
          <w:sz w:val="15"/>
          <w:szCs w:val="15"/>
          <w:highlight w:val="none"/>
        </w:rPr>
        <w:t>，</w:t>
      </w:r>
      <w:r>
        <w:rPr>
          <w:rFonts w:hint="eastAsia"/>
          <w:sz w:val="15"/>
          <w:szCs w:val="15"/>
          <w:highlight w:val="none"/>
          <w:lang w:val="en-US" w:eastAsia="zh-CN"/>
        </w:rPr>
        <w:t>132335197610200878</w:t>
      </w:r>
      <w:r>
        <w:rPr>
          <w:rFonts w:hint="eastAsia"/>
          <w:sz w:val="15"/>
          <w:szCs w:val="15"/>
        </w:rPr>
        <w:t xml:space="preserve">  </w:t>
      </w:r>
      <w:r>
        <w:rPr>
          <w:rFonts w:hint="eastAsia"/>
          <w:sz w:val="15"/>
          <w:szCs w:val="15"/>
          <w:lang w:val="en-US" w:eastAsia="zh-CN"/>
        </w:rPr>
        <w:t>冀ACK729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