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封兴平</w:t>
      </w:r>
      <w:r>
        <w:rPr>
          <w:rFonts w:hint="eastAsia"/>
          <w:sz w:val="15"/>
          <w:szCs w:val="15"/>
          <w:highlight w:val="none"/>
        </w:rPr>
        <w:t>，</w:t>
      </w:r>
      <w:r>
        <w:rPr>
          <w:rFonts w:hint="eastAsia"/>
          <w:sz w:val="15"/>
          <w:szCs w:val="15"/>
          <w:highlight w:val="none"/>
          <w:lang w:val="en-US" w:eastAsia="zh-CN"/>
        </w:rPr>
        <w:t>132335197610172272</w:t>
      </w:r>
      <w:r>
        <w:rPr>
          <w:rFonts w:hint="eastAsia"/>
          <w:sz w:val="15"/>
          <w:szCs w:val="15"/>
        </w:rPr>
        <w:t xml:space="preserve">  </w:t>
      </w:r>
      <w:r>
        <w:rPr>
          <w:rFonts w:hint="eastAsia"/>
          <w:sz w:val="15"/>
          <w:szCs w:val="15"/>
          <w:lang w:val="en-US" w:eastAsia="zh-CN"/>
        </w:rPr>
        <w:t>冀A1070N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