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史进军</w:t>
      </w:r>
      <w:r>
        <w:rPr>
          <w:rFonts w:hint="eastAsia"/>
          <w:sz w:val="15"/>
          <w:szCs w:val="15"/>
          <w:highlight w:val="none"/>
        </w:rPr>
        <w:t>，</w:t>
      </w:r>
      <w:r>
        <w:rPr>
          <w:rFonts w:hint="eastAsia"/>
          <w:sz w:val="15"/>
          <w:szCs w:val="15"/>
          <w:highlight w:val="none"/>
          <w:lang w:val="en-US" w:eastAsia="zh-CN"/>
        </w:rPr>
        <w:t>132335197604200732</w:t>
      </w:r>
      <w:r>
        <w:rPr>
          <w:rFonts w:hint="eastAsia"/>
          <w:sz w:val="15"/>
          <w:szCs w:val="15"/>
        </w:rPr>
        <w:t xml:space="preserve">  </w:t>
      </w:r>
      <w:r>
        <w:rPr>
          <w:rFonts w:hint="eastAsia"/>
          <w:sz w:val="15"/>
          <w:szCs w:val="15"/>
          <w:lang w:val="en-US" w:eastAsia="zh-CN"/>
        </w:rPr>
        <w:t>冀A2Q791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