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葛军亮</w:t>
      </w:r>
      <w:r>
        <w:rPr>
          <w:rFonts w:hint="eastAsia"/>
          <w:sz w:val="15"/>
          <w:szCs w:val="15"/>
          <w:highlight w:val="none"/>
        </w:rPr>
        <w:t>，</w:t>
      </w:r>
      <w:r>
        <w:rPr>
          <w:rFonts w:hint="eastAsia"/>
          <w:sz w:val="15"/>
          <w:szCs w:val="15"/>
          <w:highlight w:val="none"/>
          <w:lang w:val="en-US" w:eastAsia="zh-CN"/>
        </w:rPr>
        <w:t>132335197602081311</w:t>
      </w:r>
      <w:r>
        <w:rPr>
          <w:rFonts w:hint="eastAsia"/>
          <w:sz w:val="15"/>
          <w:szCs w:val="15"/>
        </w:rPr>
        <w:t xml:space="preserve">  </w:t>
      </w:r>
      <w:r>
        <w:rPr>
          <w:rFonts w:hint="eastAsia"/>
          <w:sz w:val="15"/>
          <w:szCs w:val="15"/>
          <w:lang w:val="en-US" w:eastAsia="zh-CN"/>
        </w:rPr>
        <w:t>冀A42019D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