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吴建龙</w:t>
      </w:r>
      <w:r>
        <w:rPr>
          <w:rFonts w:hint="eastAsia"/>
          <w:sz w:val="15"/>
          <w:szCs w:val="15"/>
          <w:highlight w:val="none"/>
        </w:rPr>
        <w:t>，</w:t>
      </w:r>
      <w:r>
        <w:rPr>
          <w:rFonts w:hint="eastAsia"/>
          <w:sz w:val="15"/>
          <w:szCs w:val="15"/>
          <w:highlight w:val="none"/>
          <w:lang w:val="en-US" w:eastAsia="zh-CN"/>
        </w:rPr>
        <w:t>132335197509260876</w:t>
      </w:r>
      <w:r>
        <w:rPr>
          <w:rFonts w:hint="eastAsia"/>
          <w:sz w:val="15"/>
          <w:szCs w:val="15"/>
        </w:rPr>
        <w:t xml:space="preserve">  </w:t>
      </w:r>
      <w:r>
        <w:rPr>
          <w:rFonts w:hint="eastAsia"/>
          <w:sz w:val="15"/>
          <w:szCs w:val="15"/>
          <w:lang w:val="en-US" w:eastAsia="zh-CN"/>
        </w:rPr>
        <w:t>冀AM8067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