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杜彦武</w:t>
      </w:r>
      <w:r>
        <w:rPr>
          <w:rFonts w:hint="eastAsia"/>
          <w:sz w:val="15"/>
          <w:szCs w:val="15"/>
          <w:highlight w:val="none"/>
        </w:rPr>
        <w:t>，</w:t>
      </w:r>
      <w:r>
        <w:rPr>
          <w:rFonts w:hint="eastAsia"/>
          <w:sz w:val="15"/>
          <w:szCs w:val="15"/>
          <w:highlight w:val="none"/>
          <w:lang w:val="en-US" w:eastAsia="zh-CN"/>
        </w:rPr>
        <w:t>13233519750906041X</w:t>
      </w:r>
      <w:r>
        <w:rPr>
          <w:rFonts w:hint="eastAsia"/>
          <w:sz w:val="15"/>
          <w:szCs w:val="15"/>
        </w:rPr>
        <w:t xml:space="preserve">  </w:t>
      </w:r>
      <w:r>
        <w:rPr>
          <w:rFonts w:hint="eastAsia"/>
          <w:sz w:val="15"/>
          <w:szCs w:val="15"/>
          <w:lang w:val="en-US" w:eastAsia="zh-CN"/>
        </w:rPr>
        <w:t>冀A668GJ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