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王红彦</w:t>
      </w:r>
      <w:r>
        <w:rPr>
          <w:rFonts w:hint="eastAsia"/>
          <w:sz w:val="15"/>
          <w:szCs w:val="15"/>
          <w:highlight w:val="none"/>
        </w:rPr>
        <w:t>，</w:t>
      </w:r>
      <w:r>
        <w:rPr>
          <w:rFonts w:hint="eastAsia"/>
          <w:sz w:val="15"/>
          <w:szCs w:val="15"/>
          <w:highlight w:val="none"/>
          <w:lang w:val="en-US" w:eastAsia="zh-CN"/>
        </w:rPr>
        <w:t>132335197503191013</w:t>
      </w:r>
      <w:r>
        <w:rPr>
          <w:rFonts w:hint="eastAsia"/>
          <w:sz w:val="15"/>
          <w:szCs w:val="15"/>
        </w:rPr>
        <w:t xml:space="preserve">  </w:t>
      </w:r>
      <w:r>
        <w:rPr>
          <w:rFonts w:hint="eastAsia"/>
          <w:sz w:val="15"/>
          <w:szCs w:val="15"/>
          <w:lang w:val="en-US" w:eastAsia="zh-CN"/>
        </w:rPr>
        <w:t>冀A968N0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