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谷全兵</w:t>
      </w:r>
      <w:r>
        <w:rPr>
          <w:rFonts w:hint="eastAsia"/>
          <w:sz w:val="15"/>
          <w:szCs w:val="15"/>
          <w:highlight w:val="none"/>
        </w:rPr>
        <w:t>，</w:t>
      </w:r>
      <w:r>
        <w:rPr>
          <w:rFonts w:hint="eastAsia"/>
          <w:sz w:val="15"/>
          <w:szCs w:val="15"/>
          <w:highlight w:val="none"/>
          <w:lang w:val="en-US" w:eastAsia="zh-CN"/>
        </w:rPr>
        <w:t>13233519750209131X</w:t>
      </w:r>
      <w:r>
        <w:rPr>
          <w:rFonts w:hint="eastAsia"/>
          <w:sz w:val="15"/>
          <w:szCs w:val="15"/>
        </w:rPr>
        <w:t xml:space="preserve">  </w:t>
      </w:r>
      <w:r>
        <w:rPr>
          <w:rFonts w:hint="eastAsia"/>
          <w:sz w:val="15"/>
          <w:szCs w:val="15"/>
          <w:lang w:val="en-US" w:eastAsia="zh-CN"/>
        </w:rPr>
        <w:t>冀A57748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