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谷进军</w:t>
      </w:r>
      <w:r>
        <w:rPr>
          <w:rFonts w:hint="eastAsia"/>
          <w:sz w:val="15"/>
          <w:szCs w:val="15"/>
          <w:highlight w:val="none"/>
        </w:rPr>
        <w:t>，</w:t>
      </w:r>
      <w:r>
        <w:rPr>
          <w:rFonts w:hint="eastAsia"/>
          <w:sz w:val="15"/>
          <w:szCs w:val="15"/>
          <w:highlight w:val="none"/>
          <w:lang w:val="en-US" w:eastAsia="zh-CN"/>
        </w:rPr>
        <w:t>132335197501271618</w:t>
      </w:r>
      <w:r>
        <w:rPr>
          <w:rFonts w:hint="eastAsia"/>
          <w:sz w:val="15"/>
          <w:szCs w:val="15"/>
        </w:rPr>
        <w:t xml:space="preserve">  </w:t>
      </w:r>
      <w:r>
        <w:rPr>
          <w:rFonts w:hint="eastAsia"/>
          <w:sz w:val="15"/>
          <w:szCs w:val="15"/>
          <w:lang w:val="en-US" w:eastAsia="zh-CN"/>
        </w:rPr>
        <w:t>冀A4709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