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杨国明</w:t>
      </w:r>
      <w:r>
        <w:rPr>
          <w:rFonts w:hint="eastAsia"/>
          <w:sz w:val="15"/>
          <w:szCs w:val="15"/>
          <w:highlight w:val="none"/>
        </w:rPr>
        <w:t>，</w:t>
      </w:r>
      <w:r>
        <w:rPr>
          <w:rFonts w:hint="eastAsia"/>
          <w:sz w:val="15"/>
          <w:szCs w:val="15"/>
          <w:highlight w:val="none"/>
          <w:lang w:val="en-US" w:eastAsia="zh-CN"/>
        </w:rPr>
        <w:t>132335197501231317</w:t>
      </w:r>
      <w:r>
        <w:rPr>
          <w:rFonts w:hint="eastAsia"/>
          <w:sz w:val="15"/>
          <w:szCs w:val="15"/>
        </w:rPr>
        <w:t xml:space="preserve">  </w:t>
      </w:r>
      <w:r>
        <w:rPr>
          <w:rFonts w:hint="eastAsia"/>
          <w:sz w:val="15"/>
          <w:szCs w:val="15"/>
          <w:lang w:val="en-US" w:eastAsia="zh-CN"/>
        </w:rPr>
        <w:t>冀A02466D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