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赵书明</w:t>
      </w:r>
      <w:r>
        <w:rPr>
          <w:rFonts w:hint="eastAsia"/>
          <w:sz w:val="15"/>
          <w:szCs w:val="15"/>
          <w:highlight w:val="none"/>
        </w:rPr>
        <w:t>，</w:t>
      </w:r>
      <w:r>
        <w:rPr>
          <w:rFonts w:hint="eastAsia"/>
          <w:sz w:val="15"/>
          <w:szCs w:val="15"/>
          <w:highlight w:val="none"/>
          <w:lang w:val="en-US" w:eastAsia="zh-CN"/>
        </w:rPr>
        <w:t>13233519741216217X</w:t>
      </w:r>
      <w:r>
        <w:rPr>
          <w:rFonts w:hint="eastAsia"/>
          <w:sz w:val="15"/>
          <w:szCs w:val="15"/>
        </w:rPr>
        <w:t xml:space="preserve">  </w:t>
      </w:r>
      <w:r>
        <w:rPr>
          <w:rFonts w:hint="eastAsia"/>
          <w:sz w:val="15"/>
          <w:szCs w:val="15"/>
          <w:lang w:val="en-US" w:eastAsia="zh-CN"/>
        </w:rPr>
        <w:t>冀ABC792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