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王绪联</w:t>
      </w:r>
      <w:r>
        <w:rPr>
          <w:rFonts w:hint="eastAsia"/>
          <w:sz w:val="15"/>
          <w:szCs w:val="15"/>
          <w:highlight w:val="none"/>
        </w:rPr>
        <w:t>，</w:t>
      </w:r>
      <w:r>
        <w:rPr>
          <w:rFonts w:hint="eastAsia"/>
          <w:sz w:val="15"/>
          <w:szCs w:val="15"/>
          <w:highlight w:val="none"/>
          <w:lang w:val="en-US" w:eastAsia="zh-CN"/>
        </w:rPr>
        <w:t>132335197411241335</w:t>
      </w:r>
      <w:r>
        <w:rPr>
          <w:rFonts w:hint="eastAsia"/>
          <w:sz w:val="15"/>
          <w:szCs w:val="15"/>
        </w:rPr>
        <w:t xml:space="preserve">  </w:t>
      </w:r>
      <w:r>
        <w:rPr>
          <w:rFonts w:hint="eastAsia"/>
          <w:sz w:val="15"/>
          <w:szCs w:val="15"/>
          <w:lang w:val="en-US" w:eastAsia="zh-CN"/>
        </w:rPr>
        <w:t>冀A09712D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