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胡明翠</w:t>
      </w:r>
      <w:r>
        <w:rPr>
          <w:rFonts w:hint="eastAsia"/>
          <w:sz w:val="15"/>
          <w:szCs w:val="15"/>
          <w:highlight w:val="none"/>
        </w:rPr>
        <w:t>，</w:t>
      </w:r>
      <w:r>
        <w:rPr>
          <w:rFonts w:hint="eastAsia"/>
          <w:sz w:val="15"/>
          <w:szCs w:val="15"/>
          <w:highlight w:val="none"/>
          <w:lang w:val="en-US" w:eastAsia="zh-CN"/>
        </w:rPr>
        <w:t>132335197410010869</w:t>
      </w:r>
      <w:r>
        <w:rPr>
          <w:rFonts w:hint="eastAsia"/>
          <w:sz w:val="15"/>
          <w:szCs w:val="15"/>
        </w:rPr>
        <w:t xml:space="preserve">  </w:t>
      </w:r>
      <w:r>
        <w:rPr>
          <w:rFonts w:hint="eastAsia"/>
          <w:sz w:val="15"/>
          <w:szCs w:val="15"/>
          <w:lang w:val="en-US" w:eastAsia="zh-CN"/>
        </w:rPr>
        <w:t>沪A33960D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